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28" w:rsidRPr="00D60D28" w:rsidRDefault="00D60D28" w:rsidP="00D60D28">
      <w:pPr>
        <w:shd w:val="clear" w:color="auto" w:fill="FFFFFF"/>
        <w:spacing w:after="210" w:line="240" w:lineRule="auto"/>
        <w:jc w:val="center"/>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МІНІСТЕРСТВО ОСВІТИ І НАУКИ УКРАЇНИ</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 1/5735-22 від 30 травня 2022 року</w:t>
      </w:r>
    </w:p>
    <w:p w:rsidR="00D60D28" w:rsidRPr="00D60D28" w:rsidRDefault="00D60D28" w:rsidP="00D60D28">
      <w:pPr>
        <w:shd w:val="clear" w:color="auto" w:fill="FFFFFF"/>
        <w:spacing w:after="0" w:line="240" w:lineRule="auto"/>
        <w:jc w:val="right"/>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Керівникам департаментів</w:t>
      </w:r>
      <w:r w:rsidRPr="00D60D28">
        <w:rPr>
          <w:rFonts w:ascii="Arial" w:eastAsia="Times New Roman" w:hAnsi="Arial" w:cs="Arial"/>
          <w:color w:val="000000"/>
          <w:sz w:val="21"/>
          <w:szCs w:val="21"/>
          <w:lang w:val="uk-UA" w:eastAsia="ru-RU"/>
        </w:rPr>
        <w:br/>
        <w:t>(управлінь) освіти і науки обласних,</w:t>
      </w:r>
    </w:p>
    <w:p w:rsidR="00D60D28" w:rsidRPr="00D60D28" w:rsidRDefault="00D60D28" w:rsidP="00D60D28">
      <w:pPr>
        <w:shd w:val="clear" w:color="auto" w:fill="FFFFFF"/>
        <w:spacing w:after="0" w:line="240" w:lineRule="auto"/>
        <w:jc w:val="right"/>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Київської міської державних</w:t>
      </w:r>
      <w:r w:rsidRPr="00D60D28">
        <w:rPr>
          <w:rFonts w:ascii="Arial" w:eastAsia="Times New Roman" w:hAnsi="Arial" w:cs="Arial"/>
          <w:color w:val="000000"/>
          <w:sz w:val="21"/>
          <w:szCs w:val="21"/>
          <w:lang w:val="uk-UA" w:eastAsia="ru-RU"/>
        </w:rPr>
        <w:br/>
        <w:t>(</w:t>
      </w:r>
      <w:proofErr w:type="spellStart"/>
      <w:r w:rsidRPr="00D60D28">
        <w:rPr>
          <w:rFonts w:ascii="Arial" w:eastAsia="Times New Roman" w:hAnsi="Arial" w:cs="Arial"/>
          <w:color w:val="000000"/>
          <w:sz w:val="21"/>
          <w:szCs w:val="21"/>
          <w:lang w:val="uk-UA" w:eastAsia="ru-RU"/>
        </w:rPr>
        <w:t>військово</w:t>
      </w:r>
      <w:proofErr w:type="spellEnd"/>
      <w:r w:rsidRPr="00D60D28">
        <w:rPr>
          <w:rFonts w:ascii="Arial" w:eastAsia="Times New Roman" w:hAnsi="Arial" w:cs="Arial"/>
          <w:color w:val="000000"/>
          <w:sz w:val="21"/>
          <w:szCs w:val="21"/>
          <w:lang w:val="uk-UA" w:eastAsia="ru-RU"/>
        </w:rPr>
        <w:t xml:space="preserve"> - цивільних) адміністрацій</w:t>
      </w:r>
    </w:p>
    <w:p w:rsidR="00D60D28" w:rsidRPr="00D60D28" w:rsidRDefault="00D60D28" w:rsidP="00D60D28">
      <w:pPr>
        <w:shd w:val="clear" w:color="auto" w:fill="FFFFFF"/>
        <w:spacing w:after="210" w:line="240" w:lineRule="auto"/>
        <w:jc w:val="right"/>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Заклади післядипломної педагогічної освіти</w:t>
      </w:r>
    </w:p>
    <w:p w:rsidR="00D60D28" w:rsidRPr="00D60D28" w:rsidRDefault="00D60D28" w:rsidP="00D60D28">
      <w:pPr>
        <w:shd w:val="clear" w:color="auto" w:fill="FFFFFF"/>
        <w:spacing w:after="0" w:line="240" w:lineRule="auto"/>
        <w:rPr>
          <w:rFonts w:ascii="Arial" w:eastAsia="Times New Roman" w:hAnsi="Arial" w:cs="Arial"/>
          <w:b/>
          <w:bCs/>
          <w:color w:val="000000"/>
          <w:sz w:val="21"/>
          <w:szCs w:val="21"/>
          <w:bdr w:val="none" w:sz="0" w:space="0" w:color="auto" w:frame="1"/>
          <w:lang w:val="uk-UA" w:eastAsia="ru-RU"/>
        </w:rPr>
      </w:pPr>
      <w:bookmarkStart w:id="0" w:name="_GoBack"/>
      <w:r w:rsidRPr="00D60D28">
        <w:rPr>
          <w:rFonts w:ascii="Arial" w:eastAsia="Times New Roman" w:hAnsi="Arial" w:cs="Arial"/>
          <w:b/>
          <w:bCs/>
          <w:color w:val="000000"/>
          <w:sz w:val="21"/>
          <w:szCs w:val="21"/>
          <w:bdr w:val="none" w:sz="0" w:space="0" w:color="auto" w:frame="1"/>
          <w:lang w:val="uk-UA" w:eastAsia="ru-RU"/>
        </w:rPr>
        <w:t>Про запобігання та протидію</w:t>
      </w:r>
      <w:r w:rsidRPr="00D60D28">
        <w:rPr>
          <w:rFonts w:ascii="Arial" w:eastAsia="Times New Roman" w:hAnsi="Arial" w:cs="Arial"/>
          <w:b/>
          <w:bCs/>
          <w:color w:val="000000"/>
          <w:sz w:val="21"/>
          <w:szCs w:val="21"/>
          <w:bdr w:val="none" w:sz="0" w:space="0" w:color="auto" w:frame="1"/>
          <w:lang w:val="uk-UA" w:eastAsia="ru-RU"/>
        </w:rPr>
        <w:br/>
        <w:t>домашньому насильству в умовах</w:t>
      </w:r>
      <w:r w:rsidRPr="00D60D28">
        <w:rPr>
          <w:rFonts w:ascii="Arial" w:eastAsia="Times New Roman" w:hAnsi="Arial" w:cs="Arial"/>
          <w:b/>
          <w:bCs/>
          <w:color w:val="000000"/>
          <w:sz w:val="21"/>
          <w:szCs w:val="21"/>
          <w:bdr w:val="none" w:sz="0" w:space="0" w:color="auto" w:frame="1"/>
          <w:lang w:val="uk-UA" w:eastAsia="ru-RU"/>
        </w:rPr>
        <w:br/>
        <w:t>воєнного стану в Україні</w:t>
      </w:r>
    </w:p>
    <w:bookmarkEnd w:id="0"/>
    <w:p w:rsidR="00D60D28" w:rsidRPr="00D60D28" w:rsidRDefault="00D60D28" w:rsidP="00D60D28">
      <w:pPr>
        <w:shd w:val="clear" w:color="auto" w:fill="FFFFFF"/>
        <w:spacing w:after="0" w:line="240" w:lineRule="auto"/>
        <w:rPr>
          <w:rFonts w:ascii="Arial" w:eastAsia="Times New Roman" w:hAnsi="Arial" w:cs="Arial"/>
          <w:color w:val="000000"/>
          <w:sz w:val="21"/>
          <w:szCs w:val="21"/>
          <w:lang w:val="uk-UA" w:eastAsia="ru-RU"/>
        </w:rPr>
      </w:pPr>
    </w:p>
    <w:p w:rsidR="00D60D28" w:rsidRPr="00D60D28" w:rsidRDefault="00D60D28" w:rsidP="00D60D28">
      <w:pPr>
        <w:shd w:val="clear" w:color="auto" w:fill="FFFFFF"/>
        <w:spacing w:after="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Міністерство освіти і науки України повідомляє, що постановою Кабінету Міністрів України від 16 лютого 2022 р. № 129 внесено зміни до </w:t>
      </w:r>
      <w:hyperlink r:id="rId6" w:anchor="n12" w:history="1">
        <w:r w:rsidRPr="00D60D28">
          <w:rPr>
            <w:rFonts w:ascii="Arial" w:eastAsia="Times New Roman" w:hAnsi="Arial" w:cs="Arial"/>
            <w:color w:val="8C8282"/>
            <w:sz w:val="21"/>
            <w:szCs w:val="21"/>
            <w:bdr w:val="none" w:sz="0" w:space="0" w:color="auto" w:frame="1"/>
            <w:lang w:val="uk-UA" w:eastAsia="ru-RU"/>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D60D28">
        <w:rPr>
          <w:rFonts w:ascii="Arial" w:eastAsia="Times New Roman" w:hAnsi="Arial" w:cs="Arial"/>
          <w:color w:val="000000"/>
          <w:sz w:val="21"/>
          <w:szCs w:val="21"/>
          <w:lang w:val="uk-UA" w:eastAsia="ru-RU"/>
        </w:rPr>
        <w:t>, затвердженого постановою Кабінету Міністрів України від 22 серпня 2018 р. № 658, і </w:t>
      </w:r>
      <w:hyperlink r:id="rId7" w:anchor="n27" w:history="1">
        <w:r w:rsidRPr="00D60D28">
          <w:rPr>
            <w:rFonts w:ascii="Arial" w:eastAsia="Times New Roman" w:hAnsi="Arial" w:cs="Arial"/>
            <w:color w:val="8C8282"/>
            <w:sz w:val="21"/>
            <w:szCs w:val="21"/>
            <w:bdr w:val="none" w:sz="0" w:space="0" w:color="auto" w:frame="1"/>
            <w:lang w:val="uk-UA" w:eastAsia="ru-RU"/>
          </w:rPr>
          <w:t>Порядку реалізації експериментального проекту із створення “єдиного входу” опрацювання звернень громадян та запитів на публічну інформацію</w:t>
        </w:r>
      </w:hyperlink>
      <w:r w:rsidRPr="00D60D28">
        <w:rPr>
          <w:rFonts w:ascii="Arial" w:eastAsia="Times New Roman" w:hAnsi="Arial" w:cs="Arial"/>
          <w:color w:val="000000"/>
          <w:sz w:val="21"/>
          <w:szCs w:val="21"/>
          <w:lang w:val="uk-UA" w:eastAsia="ru-RU"/>
        </w:rPr>
        <w:t>, затвердженого постановою Кабінету Міністрів України від 27 листопада 2019 р. № 972 (додаються).</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Зауважуємо, що будь-які потрясіння в суспільстві, особливо такі серйозні, як війна, коли багато громадян України втратили рідних та близьких людей, житло, роботу, звичний стиль життя і продовжують перебувати у стані невизначеності - сприяють збільшенню випадків домашнього насильства.</w:t>
      </w:r>
    </w:p>
    <w:p w:rsidR="00D60D28" w:rsidRPr="00D60D28" w:rsidRDefault="00D60D28" w:rsidP="00D60D28">
      <w:pPr>
        <w:shd w:val="clear" w:color="auto" w:fill="FFFFFF"/>
        <w:spacing w:after="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Суголосно до статті 1. </w:t>
      </w:r>
      <w:hyperlink r:id="rId8" w:history="1">
        <w:r w:rsidRPr="00D60D28">
          <w:rPr>
            <w:rFonts w:ascii="Arial" w:eastAsia="Times New Roman" w:hAnsi="Arial" w:cs="Arial"/>
            <w:color w:val="8C8282"/>
            <w:sz w:val="21"/>
            <w:szCs w:val="21"/>
            <w:bdr w:val="none" w:sz="0" w:space="0" w:color="auto" w:frame="1"/>
            <w:lang w:val="uk-UA" w:eastAsia="ru-RU"/>
          </w:rPr>
          <w:t>Закону України «Про запобігання та протидію домашньому насильству»</w:t>
        </w:r>
      </w:hyperlink>
      <w:r w:rsidRPr="00D60D28">
        <w:rPr>
          <w:rFonts w:ascii="Arial" w:eastAsia="Times New Roman" w:hAnsi="Arial" w:cs="Arial"/>
          <w:color w:val="000000"/>
          <w:sz w:val="21"/>
          <w:szCs w:val="21"/>
          <w:lang w:val="uk-UA" w:eastAsia="ru-RU"/>
        </w:rPr>
        <w:t>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Під час війни від домашнього насильства найбільше страждають традиційно вразливі категорії - жінки, діти, люди похилого віку, особи з інвалідністю, вимушені переселенці.</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Діти відчувають на собі подвійний вплив війни. Якщо у родині, де відбувається домашнє насильство, є діти - не варто тішити себе ілюзіями, що вони нічого не помічають й на них така ситуація ніяк не вплине. Діти все бачать, все відчувають, й нездорові стосунки між батьками можуть травмувати їх навіть більше за те, що вони побачили на війні.</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Дитина - свідок (або очевидець) насильства – теж постраждалий від домашнього насильства.</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Відповідальність за домашнє насильство несе кривдник із числа таких осіб: 1) подружжя; 2) колишнє подружжя; 3) наречені; 4) мати (батько) або діти одного з подружжя (колишнього подружжя) та інший з подружжя (колишнього подружжя); 5) особи, які спільно проживають (проживали) однією сім’єю, але не перебувають (не перебували) у шлюбі між собою, їхні батьки та діти; 6) особи, які мають спільну дитину (дітей); 7) батьки (мати, батько) і дитина (діти); 8) дід (баба) та онук (онука); 9) прадід (прабаба) та правнук (правнучка); 10) вітчим (мачуха) та пасинок (падчерка); 11) рідні брати і сестри; 12) інші родичі: дядько (тітка) та племінник (племінниця), двоюрідні брати і сестри, двоюрідний дід (баба) та двоюрідний онук (онука); 13) діти подружжя, колишнього подружжя, наречених, осіб, які мають спільну дитину (дітей), які не є спільними або всиновленими; 14) опікуни, піклувальники, їхні діти та особи, які перебувають (перебували) під опікою, піклуванням; 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Згідно законодавства України за вчинення домашнього насильства передбачена відповідальність.</w:t>
      </w:r>
    </w:p>
    <w:p w:rsidR="00D60D28" w:rsidRPr="00D60D28" w:rsidRDefault="00D60D28" w:rsidP="00D60D28">
      <w:pPr>
        <w:shd w:val="clear" w:color="auto" w:fill="FFFFFF"/>
        <w:spacing w:after="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lastRenderedPageBreak/>
        <w:t>Так, стаття 173² </w:t>
      </w:r>
      <w:hyperlink r:id="rId9" w:history="1">
        <w:r w:rsidRPr="00D60D28">
          <w:rPr>
            <w:rFonts w:ascii="Arial" w:eastAsia="Times New Roman" w:hAnsi="Arial" w:cs="Arial"/>
            <w:color w:val="8C8282"/>
            <w:sz w:val="21"/>
            <w:szCs w:val="21"/>
            <w:bdr w:val="none" w:sz="0" w:space="0" w:color="auto" w:frame="1"/>
            <w:lang w:val="uk-UA" w:eastAsia="ru-RU"/>
          </w:rPr>
          <w:t>Кодексу України про адміністративні правопорушення</w:t>
        </w:r>
      </w:hyperlink>
      <w:r w:rsidRPr="00D60D28">
        <w:rPr>
          <w:rFonts w:ascii="Arial" w:eastAsia="Times New Roman" w:hAnsi="Arial" w:cs="Arial"/>
          <w:color w:val="000000"/>
          <w:sz w:val="21"/>
          <w:szCs w:val="21"/>
          <w:lang w:val="uk-UA" w:eastAsia="ru-RU"/>
        </w:rPr>
        <w:t> передбачає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D60D28" w:rsidRPr="00D60D28" w:rsidRDefault="00D60D28" w:rsidP="00D60D28">
      <w:pPr>
        <w:shd w:val="clear" w:color="auto" w:fill="FFFFFF"/>
        <w:spacing w:after="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Стаття 126¹ </w:t>
      </w:r>
      <w:hyperlink r:id="rId10" w:history="1">
        <w:r w:rsidRPr="00D60D28">
          <w:rPr>
            <w:rFonts w:ascii="Arial" w:eastAsia="Times New Roman" w:hAnsi="Arial" w:cs="Arial"/>
            <w:color w:val="8C8282"/>
            <w:sz w:val="21"/>
            <w:szCs w:val="21"/>
            <w:bdr w:val="none" w:sz="0" w:space="0" w:color="auto" w:frame="1"/>
            <w:lang w:val="uk-UA" w:eastAsia="ru-RU"/>
          </w:rPr>
          <w:t>Кримінального кодексу України</w:t>
        </w:r>
      </w:hyperlink>
      <w:r w:rsidRPr="00D60D28">
        <w:rPr>
          <w:rFonts w:ascii="Arial" w:eastAsia="Times New Roman" w:hAnsi="Arial" w:cs="Arial"/>
          <w:color w:val="000000"/>
          <w:sz w:val="21"/>
          <w:szCs w:val="21"/>
          <w:lang w:val="uk-UA" w:eastAsia="ru-RU"/>
        </w:rPr>
        <w:t> передбачає покарання у вигляді громадських робіт на строк від ста п’ятдесяти до двохсот сорока годин, або арештом на строк до шести місяців, або обмеження волі на строк до п’яти років, або позбавлення волі на строк до двох років.</w:t>
      </w:r>
    </w:p>
    <w:p w:rsidR="00D60D28" w:rsidRPr="00D60D28" w:rsidRDefault="00D60D28" w:rsidP="00D60D28">
      <w:pPr>
        <w:shd w:val="clear" w:color="auto" w:fill="FFFFFF"/>
        <w:spacing w:after="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w:t>
      </w:r>
      <w:hyperlink r:id="rId11" w:history="1">
        <w:r w:rsidRPr="00D60D28">
          <w:rPr>
            <w:rFonts w:ascii="Arial" w:eastAsia="Times New Roman" w:hAnsi="Arial" w:cs="Arial"/>
            <w:color w:val="8C8282"/>
            <w:sz w:val="21"/>
            <w:szCs w:val="21"/>
            <w:bdr w:val="none" w:sz="0" w:space="0" w:color="auto" w:frame="1"/>
            <w:lang w:val="uk-UA" w:eastAsia="ru-RU"/>
          </w:rPr>
          <w:t>№ 1047</w:t>
        </w:r>
      </w:hyperlink>
      <w:r w:rsidRPr="00D60D28">
        <w:rPr>
          <w:rFonts w:ascii="Arial" w:eastAsia="Times New Roman" w:hAnsi="Arial" w:cs="Arial"/>
          <w:color w:val="000000"/>
          <w:sz w:val="21"/>
          <w:szCs w:val="21"/>
          <w:lang w:val="uk-UA" w:eastAsia="ru-RU"/>
        </w:rPr>
        <w:t>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Домашнього насильства можна уникнути, якщо жертва не буде мовчати.</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Рекомендуємо розмістити на сайтах закладів освіти та донести в доступний спосіб до учасників освітнього процесу інформацію про те, куди звертатися у випадках домашнього насильства:</w:t>
      </w:r>
    </w:p>
    <w:p w:rsidR="00D60D28" w:rsidRPr="00D60D28" w:rsidRDefault="00D60D28" w:rsidP="00D60D28">
      <w:pPr>
        <w:numPr>
          <w:ilvl w:val="0"/>
          <w:numId w:val="1"/>
        </w:numPr>
        <w:shd w:val="clear" w:color="auto" w:fill="FFFFFF"/>
        <w:spacing w:after="0" w:line="240" w:lineRule="auto"/>
        <w:ind w:left="0"/>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 xml:space="preserve">до Національної поліції за </w:t>
      </w:r>
      <w:proofErr w:type="spellStart"/>
      <w:r w:rsidRPr="00D60D28">
        <w:rPr>
          <w:rFonts w:ascii="Arial" w:eastAsia="Times New Roman" w:hAnsi="Arial" w:cs="Arial"/>
          <w:color w:val="000000"/>
          <w:sz w:val="21"/>
          <w:szCs w:val="21"/>
          <w:lang w:val="uk-UA" w:eastAsia="ru-RU"/>
        </w:rPr>
        <w:t>номеро</w:t>
      </w:r>
      <w:proofErr w:type="spellEnd"/>
      <w:r w:rsidRPr="00D60D28">
        <w:rPr>
          <w:rFonts w:ascii="Arial" w:eastAsia="Times New Roman" w:hAnsi="Arial" w:cs="Arial"/>
          <w:color w:val="000000"/>
          <w:sz w:val="21"/>
          <w:szCs w:val="21"/>
          <w:lang w:val="uk-UA" w:eastAsia="ru-RU"/>
        </w:rPr>
        <w:t>м </w:t>
      </w:r>
      <w:r w:rsidRPr="00D60D28">
        <w:rPr>
          <w:rFonts w:ascii="Arial" w:eastAsia="Times New Roman" w:hAnsi="Arial" w:cs="Arial"/>
          <w:b/>
          <w:bCs/>
          <w:color w:val="000000"/>
          <w:sz w:val="21"/>
          <w:szCs w:val="21"/>
          <w:bdr w:val="none" w:sz="0" w:space="0" w:color="auto" w:frame="1"/>
          <w:lang w:val="uk-UA" w:eastAsia="ru-RU"/>
        </w:rPr>
        <w:t>102 </w:t>
      </w:r>
      <w:r w:rsidRPr="00D60D28">
        <w:rPr>
          <w:rFonts w:ascii="Arial" w:eastAsia="Times New Roman" w:hAnsi="Arial" w:cs="Arial"/>
          <w:color w:val="000000"/>
          <w:sz w:val="21"/>
          <w:szCs w:val="21"/>
          <w:lang w:val="uk-UA" w:eastAsia="ru-RU"/>
        </w:rPr>
        <w:t>та повідомити про факт насильства;</w:t>
      </w:r>
    </w:p>
    <w:p w:rsidR="00D60D28" w:rsidRPr="00D60D28" w:rsidRDefault="00D60D28" w:rsidP="00D60D28">
      <w:pPr>
        <w:numPr>
          <w:ilvl w:val="0"/>
          <w:numId w:val="1"/>
        </w:numPr>
        <w:shd w:val="clear" w:color="auto" w:fill="FFFFFF"/>
        <w:spacing w:after="0" w:line="240" w:lineRule="auto"/>
        <w:ind w:left="0"/>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 xml:space="preserve">на Урядовий контактний </w:t>
      </w:r>
      <w:proofErr w:type="spellStart"/>
      <w:r w:rsidRPr="00D60D28">
        <w:rPr>
          <w:rFonts w:ascii="Arial" w:eastAsia="Times New Roman" w:hAnsi="Arial" w:cs="Arial"/>
          <w:color w:val="000000"/>
          <w:sz w:val="21"/>
          <w:szCs w:val="21"/>
          <w:lang w:val="uk-UA" w:eastAsia="ru-RU"/>
        </w:rPr>
        <w:t>центр</w:t>
      </w:r>
      <w:proofErr w:type="spellEnd"/>
      <w:r w:rsidRPr="00D60D28">
        <w:rPr>
          <w:rFonts w:ascii="Arial" w:eastAsia="Times New Roman" w:hAnsi="Arial" w:cs="Arial"/>
          <w:color w:val="000000"/>
          <w:sz w:val="21"/>
          <w:szCs w:val="21"/>
          <w:lang w:val="uk-UA" w:eastAsia="ru-RU"/>
        </w:rPr>
        <w:t> </w:t>
      </w:r>
      <w:r w:rsidRPr="00D60D28">
        <w:rPr>
          <w:rFonts w:ascii="Arial" w:eastAsia="Times New Roman" w:hAnsi="Arial" w:cs="Arial"/>
          <w:b/>
          <w:bCs/>
          <w:color w:val="000000"/>
          <w:sz w:val="21"/>
          <w:szCs w:val="21"/>
          <w:bdr w:val="none" w:sz="0" w:space="0" w:color="auto" w:frame="1"/>
          <w:lang w:val="uk-UA" w:eastAsia="ru-RU"/>
        </w:rPr>
        <w:t>15-47</w:t>
      </w:r>
      <w:r w:rsidRPr="00D60D28">
        <w:rPr>
          <w:rFonts w:ascii="Arial" w:eastAsia="Times New Roman" w:hAnsi="Arial" w:cs="Arial"/>
          <w:color w:val="000000"/>
          <w:sz w:val="21"/>
          <w:szCs w:val="21"/>
          <w:lang w:val="uk-UA" w:eastAsia="ru-RU"/>
        </w:rPr>
        <w:t xml:space="preserve">, де цілодобово надаються інформаційні, психологічні та юридичні консультації чоловікам та жінкам, які постраждали від домашнього насильства, </w:t>
      </w:r>
      <w:proofErr w:type="spellStart"/>
      <w:r w:rsidRPr="00D60D28">
        <w:rPr>
          <w:rFonts w:ascii="Arial" w:eastAsia="Times New Roman" w:hAnsi="Arial" w:cs="Arial"/>
          <w:color w:val="000000"/>
          <w:sz w:val="21"/>
          <w:szCs w:val="21"/>
          <w:lang w:val="uk-UA" w:eastAsia="ru-RU"/>
        </w:rPr>
        <w:t>насильства</w:t>
      </w:r>
      <w:proofErr w:type="spellEnd"/>
      <w:r w:rsidRPr="00D60D28">
        <w:rPr>
          <w:rFonts w:ascii="Arial" w:eastAsia="Times New Roman" w:hAnsi="Arial" w:cs="Arial"/>
          <w:color w:val="000000"/>
          <w:sz w:val="21"/>
          <w:szCs w:val="21"/>
          <w:lang w:val="uk-UA" w:eastAsia="ru-RU"/>
        </w:rPr>
        <w:t xml:space="preserve"> за ознакою статі, насильства стосовно дітей, або з питань загрози вчинення такого насильства та психологічної допомоги потерпілим від домашнього насильства жінкам, чоловікам, дітям;</w:t>
      </w:r>
    </w:p>
    <w:p w:rsidR="00D60D28" w:rsidRPr="00D60D28" w:rsidRDefault="00D60D28" w:rsidP="00D60D28">
      <w:pPr>
        <w:numPr>
          <w:ilvl w:val="0"/>
          <w:numId w:val="1"/>
        </w:numPr>
        <w:shd w:val="clear" w:color="auto" w:fill="FFFFFF"/>
        <w:spacing w:after="0" w:line="240" w:lineRule="auto"/>
        <w:ind w:left="0"/>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до безкоштовного номеру системи безоплатної правової допомоги </w:t>
      </w:r>
      <w:r w:rsidRPr="00D60D28">
        <w:rPr>
          <w:rFonts w:ascii="Arial" w:eastAsia="Times New Roman" w:hAnsi="Arial" w:cs="Arial"/>
          <w:b/>
          <w:bCs/>
          <w:color w:val="000000"/>
          <w:sz w:val="21"/>
          <w:szCs w:val="21"/>
          <w:bdr w:val="none" w:sz="0" w:space="0" w:color="auto" w:frame="1"/>
          <w:lang w:val="uk-UA" w:eastAsia="ru-RU"/>
        </w:rPr>
        <w:t>0 800-213-103</w:t>
      </w:r>
      <w:r w:rsidRPr="00D60D28">
        <w:rPr>
          <w:rFonts w:ascii="Arial" w:eastAsia="Times New Roman" w:hAnsi="Arial" w:cs="Arial"/>
          <w:color w:val="000000"/>
          <w:sz w:val="21"/>
          <w:szCs w:val="21"/>
          <w:lang w:val="uk-UA" w:eastAsia="ru-RU"/>
        </w:rPr>
        <w:t>;</w:t>
      </w:r>
    </w:p>
    <w:p w:rsidR="00D60D28" w:rsidRPr="00D60D28" w:rsidRDefault="00D60D28" w:rsidP="00D60D28">
      <w:pPr>
        <w:numPr>
          <w:ilvl w:val="0"/>
          <w:numId w:val="1"/>
        </w:numPr>
        <w:shd w:val="clear" w:color="auto" w:fill="FFFFFF"/>
        <w:spacing w:after="0" w:line="240" w:lineRule="auto"/>
        <w:ind w:left="0"/>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до національної «гарячої лінії» з питань запобігання домашнього насильства, торгівлею людьми та гендерної дискримінації </w:t>
      </w:r>
      <w:r w:rsidRPr="00D60D28">
        <w:rPr>
          <w:rFonts w:ascii="Arial" w:eastAsia="Times New Roman" w:hAnsi="Arial" w:cs="Arial"/>
          <w:b/>
          <w:bCs/>
          <w:color w:val="000000"/>
          <w:sz w:val="21"/>
          <w:szCs w:val="21"/>
          <w:bdr w:val="none" w:sz="0" w:space="0" w:color="auto" w:frame="1"/>
          <w:lang w:val="uk-UA" w:eastAsia="ru-RU"/>
        </w:rPr>
        <w:t>0-800-500-335</w:t>
      </w:r>
      <w:r w:rsidRPr="00D60D28">
        <w:rPr>
          <w:rFonts w:ascii="Arial" w:eastAsia="Times New Roman" w:hAnsi="Arial" w:cs="Arial"/>
          <w:color w:val="000000"/>
          <w:sz w:val="21"/>
          <w:szCs w:val="21"/>
          <w:lang w:val="uk-UA" w:eastAsia="ru-RU"/>
        </w:rPr>
        <w:t> або </w:t>
      </w:r>
      <w:r w:rsidRPr="00D60D28">
        <w:rPr>
          <w:rFonts w:ascii="Arial" w:eastAsia="Times New Roman" w:hAnsi="Arial" w:cs="Arial"/>
          <w:b/>
          <w:bCs/>
          <w:color w:val="000000"/>
          <w:sz w:val="21"/>
          <w:szCs w:val="21"/>
          <w:bdr w:val="none" w:sz="0" w:space="0" w:color="auto" w:frame="1"/>
          <w:lang w:val="uk-UA" w:eastAsia="ru-RU"/>
        </w:rPr>
        <w:t>116-123</w:t>
      </w:r>
      <w:r w:rsidRPr="00D60D28">
        <w:rPr>
          <w:rFonts w:ascii="Arial" w:eastAsia="Times New Roman" w:hAnsi="Arial" w:cs="Arial"/>
          <w:color w:val="000000"/>
          <w:sz w:val="21"/>
          <w:szCs w:val="21"/>
          <w:lang w:val="uk-UA" w:eastAsia="ru-RU"/>
        </w:rPr>
        <w:t> (короткий номер з мобільного).</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Зміст листа просимо довести до відома керівників органів управління освітою різного рівня, керівників та педагогічних працівників закладів освіти з метою забезпечення соціально-педагогічного супроводу дітей, чиї сім’ї перебувають у складних життєвих обставинах; невідкладного інформування про випадки домашнього насильства, що стали відомі; формуванню небайдужого ставлення здобувачів освіти до постраждалих дітей.</w:t>
      </w:r>
    </w:p>
    <w:p w:rsidR="00D60D28" w:rsidRPr="00D60D28" w:rsidRDefault="00D60D28" w:rsidP="00D60D28">
      <w:pPr>
        <w:shd w:val="clear" w:color="auto" w:fill="FFFFFF"/>
        <w:spacing w:after="0" w:line="240" w:lineRule="auto"/>
        <w:jc w:val="both"/>
        <w:rPr>
          <w:rFonts w:ascii="Arial" w:eastAsia="Times New Roman" w:hAnsi="Arial" w:cs="Arial"/>
          <w:color w:val="000000"/>
          <w:sz w:val="21"/>
          <w:szCs w:val="21"/>
          <w:lang w:val="uk-UA" w:eastAsia="ru-RU"/>
        </w:rPr>
      </w:pPr>
      <w:hyperlink r:id="rId12" w:history="1">
        <w:r w:rsidRPr="00D60D28">
          <w:rPr>
            <w:rFonts w:ascii="Arial" w:eastAsia="Times New Roman" w:hAnsi="Arial" w:cs="Arial"/>
            <w:color w:val="8C8282"/>
            <w:sz w:val="21"/>
            <w:szCs w:val="21"/>
            <w:bdr w:val="none" w:sz="0" w:space="0" w:color="auto" w:frame="1"/>
            <w:lang w:val="uk-UA" w:eastAsia="ru-RU"/>
          </w:rPr>
          <w:t>Додаток</w:t>
        </w:r>
      </w:hyperlink>
      <w:r w:rsidRPr="00D60D28">
        <w:rPr>
          <w:rFonts w:ascii="Arial" w:eastAsia="Times New Roman" w:hAnsi="Arial" w:cs="Arial"/>
          <w:color w:val="000000"/>
          <w:sz w:val="21"/>
          <w:szCs w:val="21"/>
          <w:lang w:val="uk-UA" w:eastAsia="ru-RU"/>
        </w:rPr>
        <w:t>: на 6 арк.</w:t>
      </w:r>
    </w:p>
    <w:p w:rsidR="00D60D28" w:rsidRPr="00D60D28" w:rsidRDefault="00D60D28" w:rsidP="00D60D28">
      <w:pPr>
        <w:shd w:val="clear" w:color="auto" w:fill="FFFFFF"/>
        <w:spacing w:after="210" w:line="240" w:lineRule="auto"/>
        <w:jc w:val="both"/>
        <w:rPr>
          <w:rFonts w:ascii="Arial" w:eastAsia="Times New Roman" w:hAnsi="Arial" w:cs="Arial"/>
          <w:color w:val="000000"/>
          <w:sz w:val="21"/>
          <w:szCs w:val="21"/>
          <w:lang w:val="uk-UA" w:eastAsia="ru-RU"/>
        </w:rPr>
      </w:pPr>
      <w:r w:rsidRPr="00D60D28">
        <w:rPr>
          <w:rFonts w:ascii="Arial" w:eastAsia="Times New Roman" w:hAnsi="Arial" w:cs="Arial"/>
          <w:color w:val="000000"/>
          <w:sz w:val="21"/>
          <w:szCs w:val="21"/>
          <w:lang w:val="uk-UA" w:eastAsia="ru-RU"/>
        </w:rPr>
        <w:t>Заступник Міністра                                  Віра Рогова</w:t>
      </w:r>
    </w:p>
    <w:p w:rsidR="004E42DD" w:rsidRPr="00D60D28" w:rsidRDefault="004E42DD">
      <w:pPr>
        <w:rPr>
          <w:lang w:val="uk-UA"/>
        </w:rPr>
      </w:pPr>
    </w:p>
    <w:sectPr w:rsidR="004E42DD" w:rsidRPr="00D60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7D36"/>
    <w:multiLevelType w:val="multilevel"/>
    <w:tmpl w:val="CED0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0"/>
    <w:rsid w:val="004E42DD"/>
    <w:rsid w:val="007544E0"/>
    <w:rsid w:val="00AF2EC0"/>
    <w:rsid w:val="00D6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72-2019-%D0%BF" TargetMode="External"/><Relationship Id="rId12" Type="http://schemas.openxmlformats.org/officeDocument/2006/relationships/hyperlink" Target="http://ru.osvita.ua/doc/files/news/865/86539/629622d7322571742840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58-2018-%D0%BF" TargetMode="External"/><Relationship Id="rId11" Type="http://schemas.openxmlformats.org/officeDocument/2006/relationships/hyperlink" Target="https://osvita.ua/legislation/Ser_osv/62105/" TargetMode="External"/><Relationship Id="rId5" Type="http://schemas.openxmlformats.org/officeDocument/2006/relationships/webSettings" Target="webSettings.xml"/><Relationship Id="rId10" Type="http://schemas.openxmlformats.org/officeDocument/2006/relationships/hyperlink" Target="https://zakon.rada.gov.ua/laws/show/2341-14"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5615</Characters>
  <Application>Microsoft Office Word</Application>
  <DocSecurity>0</DocSecurity>
  <Lines>46</Lines>
  <Paragraphs>13</Paragraphs>
  <ScaleCrop>false</ScaleCrop>
  <Company>Home</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x501u</dc:creator>
  <cp:keywords/>
  <dc:description/>
  <cp:lastModifiedBy>x501u</cp:lastModifiedBy>
  <cp:revision>2</cp:revision>
  <dcterms:created xsi:type="dcterms:W3CDTF">2022-06-16T19:33:00Z</dcterms:created>
  <dcterms:modified xsi:type="dcterms:W3CDTF">2022-06-16T19:34:00Z</dcterms:modified>
</cp:coreProperties>
</file>